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E" w:rsidRDefault="00621BEE" w:rsidP="00174C5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1BEE" w:rsidRDefault="00621BEE" w:rsidP="00174C5A">
      <w:pPr>
        <w:widowControl w:val="0"/>
        <w:autoSpaceDE w:val="0"/>
        <w:autoSpaceDN w:val="0"/>
        <w:adjustRightInd w:val="0"/>
        <w:jc w:val="both"/>
        <w:outlineLvl w:val="0"/>
      </w:pPr>
    </w:p>
    <w:p w:rsidR="00621BEE" w:rsidRDefault="00621BEE" w:rsidP="00174C5A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6 марта 2014 г. N 31528</w:t>
      </w:r>
    </w:p>
    <w:p w:rsidR="00621BEE" w:rsidRDefault="00621BEE" w:rsidP="00174C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января 2014 г. N 14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ПОКАЗАТЕЛЕЙ МОНИТОРИНГА СИСТЕМЫ ОБРАЗОВАНИЯ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прилагаемые </w:t>
      </w:r>
      <w:hyperlink w:anchor="Par28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образования.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  <w:r>
        <w:t>Приложение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</w:pPr>
      <w:r>
        <w:t>от 15 января 2014 г. N 14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right"/>
        <w:sectPr w:rsidR="00621BEE" w:rsidSect="005E3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 xml:space="preserve">ПОКАЗАТЕЛИ </w:t>
      </w:r>
      <w:hyperlink r:id="rId6" w:history="1">
        <w:r>
          <w:rPr>
            <w:b/>
            <w:bCs/>
            <w:color w:val="0000FF"/>
          </w:rPr>
          <w:t>МОНИТОРИНГА</w:t>
        </w:r>
      </w:hyperlink>
      <w:r>
        <w:rPr>
          <w:b/>
          <w:bCs/>
        </w:rPr>
        <w:t xml:space="preserve"> СИСТЕМЫ ОБРАЗОВАНИЯ</w:t>
      </w:r>
    </w:p>
    <w:p w:rsidR="00621BEE" w:rsidRDefault="00621BEE" w:rsidP="00174C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357"/>
      </w:tblGrid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2"/>
            <w:bookmarkEnd w:id="3"/>
            <w: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34"/>
            <w:bookmarkEnd w:id="4"/>
            <w: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день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98"/>
            <w:bookmarkEnd w:id="5"/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раз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балл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балл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балл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балл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216"/>
            <w:bookmarkEnd w:id="6"/>
            <w: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218"/>
            <w:bookmarkEnd w:id="7"/>
            <w: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программы подготовки квалифицированных рабочих, служащих;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программы подготовки специалистов среднего звена.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" w:name="Par412"/>
            <w:bookmarkEnd w:id="8"/>
            <w:r>
              <w:t xml:space="preserve">4. Сведения о развитии высшего образования </w:t>
            </w:r>
            <w:hyperlink w:anchor="Par83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4.9.4. 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9" w:name="Par528"/>
            <w:bookmarkEnd w:id="9"/>
            <w: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530"/>
            <w:bookmarkEnd w:id="10"/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квадратный метр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рублей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приобретение актуальных знаний, умений, практических навыков обучающимися;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улучшение знаний в рамках школьной программы обучающимися.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598"/>
            <w:bookmarkEnd w:id="11"/>
            <w: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6.1.2. 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доктора наук;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кандидата наук.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всего;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имеющих доступ к Интернету.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высшего образования.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учебно-лабораторные здания;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общежития.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9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2" w:name="Par660"/>
            <w:bookmarkEnd w:id="12"/>
            <w: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13" w:name="Par662"/>
            <w:bookmarkEnd w:id="13"/>
            <w: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тысяча человек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общеобразовательные организации;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профессиональные образовательные организации;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образовательные организации высшего образования;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дополнительного образования;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организации дополнительного профессионального образования;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учебные центры профессиональной квалификации. </w:t>
            </w:r>
            <w:hyperlink w:anchor="Par83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бюджетные ассигнования;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9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финансовые средства от приносящей доход деятельности.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9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9" w:history="1">
              <w:r>
                <w:rPr>
                  <w:color w:val="0000FF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4" w:name="Par728"/>
            <w:bookmarkEnd w:id="14"/>
            <w: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" w:name="Par730"/>
            <w:bookmarkEnd w:id="15"/>
            <w: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исключительно профессиональной подготовки квалифицированных рабочих, служащих;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профессиональной подготовки специалистов среднего звена;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бакалавриата, подготовки специалистов, магистратуры.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6" w:name="Par746"/>
            <w:bookmarkEnd w:id="16"/>
            <w: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7" w:name="Par760"/>
            <w:bookmarkEnd w:id="17"/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 xml:space="preserve">международное исследование PIRLS.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математика (4 класс);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математика (8 класс);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естествознание (4 класс);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естествознание (8 класс).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читательская грамотность;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математическая грамотность;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 xml:space="preserve">естественнонаучная грамотность.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</w:t>
            </w:r>
            <w:hyperlink w:anchor="Par83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18" w:name="Par802"/>
            <w:bookmarkEnd w:id="18"/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образовательные программы высшего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ind w:left="283"/>
              <w:jc w:val="both"/>
            </w:pPr>
            <w: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7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1BEE" w:rsidTr="00A1193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836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ar837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BEE" w:rsidRDefault="00621BEE" w:rsidP="00A11932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</w:p>
        </w:tc>
      </w:tr>
    </w:tbl>
    <w:p w:rsidR="00621BEE" w:rsidRDefault="00621BEE" w:rsidP="00174C5A">
      <w:pPr>
        <w:widowControl w:val="0"/>
        <w:autoSpaceDE w:val="0"/>
        <w:autoSpaceDN w:val="0"/>
        <w:adjustRightInd w:val="0"/>
        <w:jc w:val="center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836"/>
      <w:bookmarkEnd w:id="19"/>
      <w: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837"/>
      <w:bookmarkEnd w:id="20"/>
      <w:r>
        <w:t>&lt;**&gt; Сбор данных начинается с 2015 года.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838"/>
      <w:bookmarkEnd w:id="21"/>
      <w:r>
        <w:t xml:space="preserve">&lt;***&gt; По разделу также осуществляется сбор данных в соответствии с </w:t>
      </w:r>
      <w:hyperlink r:id="rId7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839"/>
      <w:bookmarkEnd w:id="22"/>
      <w:r>
        <w:t>&lt;****&gt; Сбор данных начинается с 2016 года.</w:t>
      </w: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autoSpaceDE w:val="0"/>
        <w:autoSpaceDN w:val="0"/>
        <w:adjustRightInd w:val="0"/>
        <w:ind w:firstLine="540"/>
        <w:jc w:val="both"/>
      </w:pPr>
    </w:p>
    <w:p w:rsidR="00621BEE" w:rsidRDefault="00621BEE" w:rsidP="00174C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21BEE" w:rsidRDefault="00621BEE" w:rsidP="00174C5A"/>
    <w:p w:rsidR="00621BEE" w:rsidRPr="00174C5A" w:rsidRDefault="00621BEE" w:rsidP="00174C5A"/>
    <w:sectPr w:rsidR="00621BEE" w:rsidRPr="00174C5A" w:rsidSect="00621BE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91"/>
    <w:rsid w:val="000D6E04"/>
    <w:rsid w:val="00174C5A"/>
    <w:rsid w:val="0028002E"/>
    <w:rsid w:val="002D3FA4"/>
    <w:rsid w:val="002E021B"/>
    <w:rsid w:val="004C2D91"/>
    <w:rsid w:val="004E44DF"/>
    <w:rsid w:val="005E3CB9"/>
    <w:rsid w:val="00621BEE"/>
    <w:rsid w:val="00A1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A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D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D6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D6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6E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E0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6E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0D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D6E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D6E04"/>
    <w:rPr>
      <w:rFonts w:cs="Times New Roman"/>
      <w:color w:val="800080"/>
      <w:u w:val="single"/>
    </w:rPr>
  </w:style>
  <w:style w:type="paragraph" w:customStyle="1" w:styleId="normactprilozhenie">
    <w:name w:val="norm_act_prilozhenie"/>
    <w:basedOn w:val="Normal"/>
    <w:uiPriority w:val="99"/>
    <w:rsid w:val="000D6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DefaultParagraphFont"/>
    <w:uiPriority w:val="99"/>
    <w:rsid w:val="000D6E04"/>
    <w:rPr>
      <w:rFonts w:cs="Times New Roman"/>
    </w:rPr>
  </w:style>
  <w:style w:type="character" w:customStyle="1" w:styleId="b-share-icon">
    <w:name w:val="b-share-icon"/>
    <w:basedOn w:val="DefaultParagraphFont"/>
    <w:uiPriority w:val="99"/>
    <w:rsid w:val="000D6E04"/>
    <w:rPr>
      <w:rFonts w:cs="Times New Roman"/>
    </w:rPr>
  </w:style>
  <w:style w:type="paragraph" w:customStyle="1" w:styleId="ConsPlusNormal">
    <w:name w:val="ConsPlusNormal"/>
    <w:uiPriority w:val="99"/>
    <w:rsid w:val="00174C5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4C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4C5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74C5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9712C4F7B1827180E56A23CA71A424A9185E40AEA2173973EC631EAB01319C6FEFE0952222568uDU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9712C4F7B1827180E56A23CA71A424A938EE50AE82173973EC631EAB01319C6FEFE0952232268uDU1M" TargetMode="External"/><Relationship Id="rId5" Type="http://schemas.openxmlformats.org/officeDocument/2006/relationships/hyperlink" Target="consultantplus://offline/ref=7C39712C4F7B1827180E56A23CA71A424A918DE40FE22173973EC631EAB01319C6FEFE095222216BuDU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55</Pages>
  <Words>9403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2015-03-09T14:00:00Z</dcterms:created>
  <dcterms:modified xsi:type="dcterms:W3CDTF">2015-03-10T12:21:00Z</dcterms:modified>
</cp:coreProperties>
</file>